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76"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016166" cy="5191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16166" cy="519113"/>
                    </a:xfrm>
                    <a:prstGeom prst="rect"/>
                    <a:ln/>
                  </pic:spPr>
                </pic:pic>
              </a:graphicData>
            </a:graphic>
          </wp:anchor>
        </w:drawing>
      </w:r>
    </w:p>
    <w:p w:rsidR="00000000" w:rsidDel="00000000" w:rsidP="00000000" w:rsidRDefault="00000000" w:rsidRPr="00000000" w14:paraId="00000001">
      <w:pPr>
        <w:spacing w:after="160" w:line="276" w:lineRule="auto"/>
        <w:jc w:val="both"/>
        <w:rPr>
          <w:rFonts w:ascii="Lato" w:cs="Lato" w:eastAsia="Lato" w:hAnsi="Lato"/>
          <w:b w:val="1"/>
          <w:sz w:val="48"/>
          <w:szCs w:val="48"/>
        </w:rPr>
      </w:pPr>
      <w:r w:rsidDel="00000000" w:rsidR="00000000" w:rsidRPr="00000000">
        <w:rPr>
          <w:rFonts w:ascii="Lato" w:cs="Lato" w:eastAsia="Lato" w:hAnsi="Lato"/>
          <w:b w:val="1"/>
          <w:sz w:val="48"/>
          <w:szCs w:val="48"/>
          <w:rtl w:val="0"/>
        </w:rPr>
        <w:t xml:space="preserve">MORE ABOUT CYLON</w:t>
      </w:r>
    </w:p>
    <w:p w:rsidR="00000000" w:rsidDel="00000000" w:rsidP="00000000" w:rsidRDefault="00000000" w:rsidRPr="00000000" w14:paraId="00000002">
      <w:pPr>
        <w:spacing w:after="160" w:line="276" w:lineRule="auto"/>
        <w:jc w:val="both"/>
        <w:rPr>
          <w:rFonts w:ascii="Lato" w:cs="Lato" w:eastAsia="Lato" w:hAnsi="Lato"/>
          <w:b w:val="1"/>
          <w:sz w:val="48"/>
          <w:szCs w:val="4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60" w:line="276" w:lineRule="auto"/>
        <w:jc w:val="both"/>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CYLON BRANDING</w:t>
      </w:r>
    </w:p>
    <w:p w:rsidR="00000000" w:rsidDel="00000000" w:rsidP="00000000" w:rsidRDefault="00000000" w:rsidRPr="00000000" w14:paraId="00000004">
      <w:pPr>
        <w:spacing w:after="160" w:line="276" w:lineRule="auto"/>
        <w:jc w:val="both"/>
        <w:rPr>
          <w:rFonts w:ascii="Lato" w:cs="Lato" w:eastAsia="Lato" w:hAnsi="Lato"/>
        </w:rPr>
      </w:pPr>
      <w:r w:rsidDel="00000000" w:rsidR="00000000" w:rsidRPr="00000000">
        <w:rPr>
          <w:rFonts w:ascii="Lato" w:cs="Lato" w:eastAsia="Lato" w:hAnsi="Lato"/>
          <w:rtl w:val="0"/>
        </w:rPr>
        <w:t xml:space="preserve">Please note that “CyLon” is spelt with a capital C and capital L.</w:t>
      </w:r>
    </w:p>
    <w:p w:rsidR="00000000" w:rsidDel="00000000" w:rsidP="00000000" w:rsidRDefault="00000000" w:rsidRPr="00000000" w14:paraId="00000005">
      <w:pPr>
        <w:spacing w:after="160" w:line="276" w:lineRule="auto"/>
        <w:jc w:val="both"/>
        <w:rPr>
          <w:rFonts w:ascii="Lato" w:cs="Lato" w:eastAsia="Lato" w:hAnsi="Lato"/>
        </w:rPr>
      </w:pPr>
      <w:r w:rsidDel="00000000" w:rsidR="00000000" w:rsidRPr="00000000">
        <w:rPr>
          <w:rtl w:val="0"/>
        </w:rPr>
      </w:r>
    </w:p>
    <w:p w:rsidR="00000000" w:rsidDel="00000000" w:rsidP="00000000" w:rsidRDefault="00000000" w:rsidRPr="00000000" w14:paraId="00000006">
      <w:pPr>
        <w:spacing w:after="160" w:line="276" w:lineRule="auto"/>
        <w:jc w:val="both"/>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CYLON MISSION STATEMENT</w:t>
      </w:r>
    </w:p>
    <w:p w:rsidR="00000000" w:rsidDel="00000000" w:rsidP="00000000" w:rsidRDefault="00000000" w:rsidRPr="00000000" w14:paraId="00000007">
      <w:pPr>
        <w:spacing w:after="160" w:line="276" w:lineRule="auto"/>
        <w:jc w:val="both"/>
        <w:rPr>
          <w:rFonts w:ascii="Lato" w:cs="Lato" w:eastAsia="Lato" w:hAnsi="Lato"/>
        </w:rPr>
      </w:pPr>
      <w:r w:rsidDel="00000000" w:rsidR="00000000" w:rsidRPr="00000000">
        <w:rPr>
          <w:rFonts w:ascii="Lato" w:cs="Lato" w:eastAsia="Lato" w:hAnsi="Lato"/>
          <w:rtl w:val="0"/>
        </w:rPr>
        <w:t xml:space="preserve">CyLon finds, grows and invests in the world’s best emerging cyber businesses.</w:t>
      </w:r>
    </w:p>
    <w:p w:rsidR="00000000" w:rsidDel="00000000" w:rsidP="00000000" w:rsidRDefault="00000000" w:rsidRPr="00000000" w14:paraId="00000008">
      <w:pPr>
        <w:spacing w:after="160" w:line="276" w:lineRule="auto"/>
        <w:jc w:val="both"/>
        <w:rPr>
          <w:rFonts w:ascii="Lato" w:cs="Lato" w:eastAsia="Lato" w:hAnsi="Lato"/>
        </w:rPr>
      </w:pPr>
      <w:r w:rsidDel="00000000" w:rsidR="00000000" w:rsidRPr="00000000">
        <w:rPr>
          <w:rtl w:val="0"/>
        </w:rPr>
      </w:r>
    </w:p>
    <w:p w:rsidR="00000000" w:rsidDel="00000000" w:rsidP="00000000" w:rsidRDefault="00000000" w:rsidRPr="00000000" w14:paraId="00000009">
      <w:pPr>
        <w:spacing w:after="160" w:line="276" w:lineRule="auto"/>
        <w:jc w:val="both"/>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CYLON LONDON PARTNERS </w:t>
      </w:r>
    </w:p>
    <w:p w:rsidR="00000000" w:rsidDel="00000000" w:rsidP="00000000" w:rsidRDefault="00000000" w:rsidRPr="00000000" w14:paraId="0000000A">
      <w:pPr>
        <w:spacing w:after="160" w:line="276" w:lineRule="auto"/>
        <w:jc w:val="both"/>
        <w:rPr>
          <w:rFonts w:ascii="Lato" w:cs="Lato" w:eastAsia="Lato" w:hAnsi="Lato"/>
          <w:b w:val="1"/>
          <w:u w:val="single"/>
        </w:rPr>
      </w:pPr>
      <w:r w:rsidDel="00000000" w:rsidR="00000000" w:rsidRPr="00000000">
        <w:rPr>
          <w:rFonts w:ascii="Lato" w:cs="Lato" w:eastAsia="Lato" w:hAnsi="Lato"/>
          <w:b w:val="1"/>
          <w:u w:val="single"/>
          <w:rtl w:val="0"/>
        </w:rPr>
        <w:t xml:space="preserve">Nominet</w:t>
      </w:r>
    </w:p>
    <w:p w:rsidR="00000000" w:rsidDel="00000000" w:rsidP="00000000" w:rsidRDefault="00000000" w:rsidRPr="00000000" w14:paraId="0000000B">
      <w:pPr>
        <w:spacing w:after="160" w:line="276" w:lineRule="auto"/>
        <w:jc w:val="both"/>
        <w:rPr>
          <w:rFonts w:ascii="Lato" w:cs="Lato" w:eastAsia="Lato" w:hAnsi="Lato"/>
        </w:rPr>
      </w:pPr>
      <w:r w:rsidDel="00000000" w:rsidR="00000000" w:rsidRPr="00000000">
        <w:rPr>
          <w:rFonts w:ascii="Lato" w:cs="Lato" w:eastAsia="Lato" w:hAnsi="Lato"/>
          <w:i w:val="1"/>
          <w:rtl w:val="0"/>
        </w:rPr>
        <w:t xml:space="preserve">Nominet, </w:t>
      </w:r>
      <w:r w:rsidDel="00000000" w:rsidR="00000000" w:rsidRPr="00000000">
        <w:rPr>
          <w:rFonts w:ascii="Lato" w:cs="Lato" w:eastAsia="Lato" w:hAnsi="Lato"/>
          <w:rtl w:val="0"/>
        </w:rPr>
        <w:t xml:space="preserve">is the guardian of the .uk domain and is at the heart of UK internet infrastructure with a unique role and responsibility in analysing and tackling cyber threats. </w:t>
      </w:r>
      <w:hyperlink r:id="rId7">
        <w:r w:rsidDel="00000000" w:rsidR="00000000" w:rsidRPr="00000000">
          <w:rPr>
            <w:rFonts w:ascii="Lato" w:cs="Lato" w:eastAsia="Lato" w:hAnsi="Lato"/>
            <w:color w:val="1155cc"/>
            <w:u w:val="single"/>
            <w:rtl w:val="0"/>
          </w:rPr>
          <w:t xml:space="preserve">https://www.nominet.uk/</w:t>
        </w:r>
      </w:hyperlink>
      <w:r w:rsidDel="00000000" w:rsidR="00000000" w:rsidRPr="00000000">
        <w:rPr>
          <w:rtl w:val="0"/>
        </w:rPr>
      </w:r>
    </w:p>
    <w:p w:rsidR="00000000" w:rsidDel="00000000" w:rsidP="00000000" w:rsidRDefault="00000000" w:rsidRPr="00000000" w14:paraId="0000000C">
      <w:pPr>
        <w:spacing w:after="160" w:line="276" w:lineRule="auto"/>
        <w:jc w:val="both"/>
        <w:rPr>
          <w:rFonts w:ascii="Lato" w:cs="Lato" w:eastAsia="Lato" w:hAnsi="Lato"/>
          <w:b w:val="1"/>
          <w:u w:val="single"/>
        </w:rPr>
      </w:pPr>
      <w:r w:rsidDel="00000000" w:rsidR="00000000" w:rsidRPr="00000000">
        <w:rPr>
          <w:rFonts w:ascii="Lato" w:cs="Lato" w:eastAsia="Lato" w:hAnsi="Lato"/>
          <w:b w:val="1"/>
          <w:u w:val="single"/>
          <w:rtl w:val="0"/>
        </w:rPr>
        <w:t xml:space="preserve">BAE Systems Applied Intelligence</w:t>
      </w:r>
    </w:p>
    <w:p w:rsidR="00000000" w:rsidDel="00000000" w:rsidP="00000000" w:rsidRDefault="00000000" w:rsidRPr="00000000" w14:paraId="0000000D">
      <w:pPr>
        <w:spacing w:after="160" w:line="276" w:lineRule="auto"/>
        <w:jc w:val="both"/>
        <w:rPr>
          <w:rFonts w:ascii="Lato" w:cs="Lato" w:eastAsia="Lato" w:hAnsi="Lato"/>
        </w:rPr>
      </w:pPr>
      <w:r w:rsidDel="00000000" w:rsidR="00000000" w:rsidRPr="00000000">
        <w:rPr>
          <w:rFonts w:ascii="Lato" w:cs="Lato" w:eastAsia="Lato" w:hAnsi="Lato"/>
          <w:i w:val="1"/>
          <w:rtl w:val="0"/>
        </w:rPr>
        <w:t xml:space="preserve">BAE Systems Applied Intelligence</w:t>
      </w:r>
      <w:r w:rsidDel="00000000" w:rsidR="00000000" w:rsidRPr="00000000">
        <w:rPr>
          <w:rFonts w:ascii="Lato" w:cs="Lato" w:eastAsia="Lato" w:hAnsi="Lato"/>
          <w:rtl w:val="0"/>
        </w:rPr>
        <w:t xml:space="preserve"> is a business division of BAE Systems that helps nations, governments and businesses around the world defend themselves against cybercrime, reduce their risk in the connected world, comply with regulation, and transform their operations. </w:t>
      </w:r>
      <w:hyperlink r:id="rId8">
        <w:r w:rsidDel="00000000" w:rsidR="00000000" w:rsidRPr="00000000">
          <w:rPr>
            <w:rFonts w:ascii="Lato" w:cs="Lato" w:eastAsia="Lato" w:hAnsi="Lato"/>
            <w:color w:val="1155cc"/>
            <w:u w:val="single"/>
            <w:rtl w:val="0"/>
          </w:rPr>
          <w:t xml:space="preserve">https://www.baesystems.com/en/cybersecurity/home</w:t>
        </w:r>
      </w:hyperlink>
      <w:r w:rsidDel="00000000" w:rsidR="00000000" w:rsidRPr="00000000">
        <w:rPr>
          <w:rtl w:val="0"/>
        </w:rPr>
      </w:r>
    </w:p>
    <w:p w:rsidR="00000000" w:rsidDel="00000000" w:rsidP="00000000" w:rsidRDefault="00000000" w:rsidRPr="00000000" w14:paraId="0000000E">
      <w:pPr>
        <w:spacing w:after="160" w:line="276" w:lineRule="auto"/>
        <w:jc w:val="both"/>
        <w:rPr>
          <w:rFonts w:ascii="Lato" w:cs="Lato" w:eastAsia="Lato" w:hAnsi="Lato"/>
          <w:b w:val="1"/>
          <w:u w:val="single"/>
        </w:rPr>
      </w:pPr>
      <w:r w:rsidDel="00000000" w:rsidR="00000000" w:rsidRPr="00000000">
        <w:rPr>
          <w:rFonts w:ascii="Lato" w:cs="Lato" w:eastAsia="Lato" w:hAnsi="Lato"/>
          <w:b w:val="1"/>
          <w:u w:val="single"/>
          <w:rtl w:val="0"/>
        </w:rPr>
        <w:t xml:space="preserve">Winton</w:t>
      </w:r>
    </w:p>
    <w:p w:rsidR="00000000" w:rsidDel="00000000" w:rsidP="00000000" w:rsidRDefault="00000000" w:rsidRPr="00000000" w14:paraId="0000000F">
      <w:pPr>
        <w:spacing w:after="160" w:line="276" w:lineRule="auto"/>
        <w:jc w:val="both"/>
        <w:rPr>
          <w:rFonts w:ascii="Lato" w:cs="Lato" w:eastAsia="Lato" w:hAnsi="Lato"/>
        </w:rPr>
      </w:pPr>
      <w:r w:rsidDel="00000000" w:rsidR="00000000" w:rsidRPr="00000000">
        <w:rPr>
          <w:rFonts w:ascii="Lato" w:cs="Lato" w:eastAsia="Lato" w:hAnsi="Lato"/>
          <w:i w:val="1"/>
          <w:rtl w:val="0"/>
        </w:rPr>
        <w:t xml:space="preserve">Winton</w:t>
      </w:r>
      <w:r w:rsidDel="00000000" w:rsidR="00000000" w:rsidRPr="00000000">
        <w:rPr>
          <w:rFonts w:ascii="Lato" w:cs="Lato" w:eastAsia="Lato" w:hAnsi="Lato"/>
          <w:rtl w:val="0"/>
        </w:rPr>
        <w:t xml:space="preserve"> is a global investment management and data science company. The firm employs more than 300 people in eight offices around the world and manages approximately $30 billion of assets for many of the world’s largest pension funds, sovereign wealth funds, banks and fund platforms. </w:t>
      </w:r>
      <w:hyperlink r:id="rId9">
        <w:r w:rsidDel="00000000" w:rsidR="00000000" w:rsidRPr="00000000">
          <w:rPr>
            <w:rFonts w:ascii="Lato" w:cs="Lato" w:eastAsia="Lato" w:hAnsi="Lato"/>
            <w:color w:val="1155cc"/>
            <w:u w:val="single"/>
            <w:rtl w:val="0"/>
          </w:rPr>
          <w:t xml:space="preserve">https://wintoncapital.com</w:t>
        </w:r>
      </w:hyperlink>
      <w:r w:rsidDel="00000000" w:rsidR="00000000" w:rsidRPr="00000000">
        <w:rPr>
          <w:rFonts w:ascii="Lato" w:cs="Lato" w:eastAsia="Lato" w:hAnsi="Lato"/>
          <w:color w:val="1255cc"/>
          <w:u w:val="single"/>
          <w:rtl w:val="0"/>
        </w:rPr>
        <w:t xml:space="preserve"> </w:t>
      </w:r>
      <w:r w:rsidDel="00000000" w:rsidR="00000000" w:rsidRPr="00000000">
        <w:rPr>
          <w:rtl w:val="0"/>
        </w:rPr>
      </w:r>
    </w:p>
    <w:p w:rsidR="00000000" w:rsidDel="00000000" w:rsidP="00000000" w:rsidRDefault="00000000" w:rsidRPr="00000000" w14:paraId="00000010">
      <w:pPr>
        <w:spacing w:after="160" w:line="276" w:lineRule="auto"/>
        <w:jc w:val="both"/>
        <w:rPr>
          <w:rFonts w:ascii="Lato" w:cs="Lato" w:eastAsia="Lato" w:hAnsi="Lato"/>
        </w:rPr>
      </w:pPr>
      <w:r w:rsidDel="00000000" w:rsidR="00000000" w:rsidRPr="00000000">
        <w:rPr>
          <w:rtl w:val="0"/>
        </w:rPr>
      </w:r>
    </w:p>
    <w:p w:rsidR="00000000" w:rsidDel="00000000" w:rsidP="00000000" w:rsidRDefault="00000000" w:rsidRPr="00000000" w14:paraId="00000011">
      <w:pPr>
        <w:spacing w:after="160" w:line="276" w:lineRule="auto"/>
        <w:jc w:val="both"/>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CYLON SINGAPORE PARTNERS</w:t>
      </w:r>
    </w:p>
    <w:p w:rsidR="00000000" w:rsidDel="00000000" w:rsidP="00000000" w:rsidRDefault="00000000" w:rsidRPr="00000000" w14:paraId="00000012">
      <w:pPr>
        <w:spacing w:after="160" w:line="276" w:lineRule="auto"/>
        <w:jc w:val="both"/>
        <w:rPr>
          <w:rFonts w:ascii="Lato" w:cs="Lato" w:eastAsia="Lato" w:hAnsi="Lato"/>
          <w:b w:val="1"/>
          <w:u w:val="single"/>
        </w:rPr>
      </w:pPr>
      <w:r w:rsidDel="00000000" w:rsidR="00000000" w:rsidRPr="00000000">
        <w:rPr>
          <w:rFonts w:ascii="Lato" w:cs="Lato" w:eastAsia="Lato" w:hAnsi="Lato"/>
          <w:b w:val="1"/>
          <w:u w:val="single"/>
          <w:rtl w:val="0"/>
        </w:rPr>
        <w:t xml:space="preserve">ICE71</w:t>
      </w:r>
    </w:p>
    <w:p w:rsidR="00000000" w:rsidDel="00000000" w:rsidP="00000000" w:rsidRDefault="00000000" w:rsidRPr="00000000" w14:paraId="00000013">
      <w:pPr>
        <w:spacing w:after="160" w:line="276" w:lineRule="auto"/>
        <w:jc w:val="both"/>
        <w:rPr>
          <w:rFonts w:ascii="Lato" w:cs="Lato" w:eastAsia="Lato" w:hAnsi="Lato"/>
          <w:color w:val="1155cc"/>
          <w:u w:val="single"/>
        </w:rPr>
      </w:pPr>
      <w:r w:rsidDel="00000000" w:rsidR="00000000" w:rsidRPr="00000000">
        <w:rPr>
          <w:rFonts w:ascii="Lato" w:cs="Lato" w:eastAsia="Lato" w:hAnsi="Lato"/>
          <w:rtl w:val="0"/>
        </w:rPr>
        <w:t xml:space="preserve">CyLon Singapore is part of ICE71, the ‘Innovation Cybersecurity Ecosystem’ located at Block71 in Singapore. ICE71 is Singapore’s first cybersecurity entrepreneur hub, and aims to strengthen Singapore’s growing cybersecurity ecosystem by attracting and developing competencies and deep technologies to help mitigate the rapidly increasing cybersecurity risks in the region.</w:t>
      </w:r>
      <w:hyperlink r:id="rId10">
        <w:r w:rsidDel="00000000" w:rsidR="00000000" w:rsidRPr="00000000">
          <w:rPr>
            <w:rFonts w:ascii="Lato" w:cs="Lato" w:eastAsia="Lato" w:hAnsi="Lato"/>
            <w:rtl w:val="0"/>
          </w:rPr>
          <w:t xml:space="preserve"> </w:t>
        </w:r>
      </w:hyperlink>
      <w:r w:rsidDel="00000000" w:rsidR="00000000" w:rsidRPr="00000000">
        <w:fldChar w:fldCharType="begin"/>
        <w:instrText xml:space="preserve"> HYPERLINK "https://ice71.sg/" </w:instrText>
        <w:fldChar w:fldCharType="separate"/>
      </w:r>
      <w:r w:rsidDel="00000000" w:rsidR="00000000" w:rsidRPr="00000000">
        <w:rPr>
          <w:rFonts w:ascii="Lato" w:cs="Lato" w:eastAsia="Lato" w:hAnsi="Lato"/>
          <w:color w:val="1155cc"/>
          <w:u w:val="single"/>
          <w:rtl w:val="0"/>
        </w:rPr>
        <w:t xml:space="preserve">https://ice71.sg/</w:t>
      </w:r>
    </w:p>
    <w:p w:rsidR="00000000" w:rsidDel="00000000" w:rsidP="00000000" w:rsidRDefault="00000000" w:rsidRPr="00000000" w14:paraId="00000014">
      <w:pPr>
        <w:spacing w:after="160" w:line="276" w:lineRule="auto"/>
        <w:jc w:val="both"/>
        <w:rPr>
          <w:rFonts w:ascii="Lato" w:cs="Lato" w:eastAsia="Lato" w:hAnsi="Lato"/>
          <w:b w:val="1"/>
          <w:u w:val="single"/>
        </w:rPr>
      </w:pPr>
      <w:r w:rsidDel="00000000" w:rsidR="00000000" w:rsidRPr="00000000">
        <w:fldChar w:fldCharType="end"/>
      </w:r>
      <w:r w:rsidDel="00000000" w:rsidR="00000000" w:rsidRPr="00000000">
        <w:rPr>
          <w:rFonts w:ascii="Lato" w:cs="Lato" w:eastAsia="Lato" w:hAnsi="Lato"/>
          <w:b w:val="1"/>
          <w:u w:val="single"/>
          <w:rtl w:val="0"/>
        </w:rPr>
        <w:t xml:space="preserve">Singtel Innov8</w:t>
      </w:r>
    </w:p>
    <w:p w:rsidR="00000000" w:rsidDel="00000000" w:rsidP="00000000" w:rsidRDefault="00000000" w:rsidRPr="00000000" w14:paraId="00000015">
      <w:pPr>
        <w:spacing w:after="160" w:line="276" w:lineRule="auto"/>
        <w:jc w:val="both"/>
        <w:rPr>
          <w:rFonts w:ascii="Lato" w:cs="Lato" w:eastAsia="Lato" w:hAnsi="Lato"/>
          <w:color w:val="1155cc"/>
          <w:u w:val="single"/>
        </w:rPr>
      </w:pPr>
      <w:r w:rsidDel="00000000" w:rsidR="00000000" w:rsidRPr="00000000">
        <w:rPr>
          <w:rFonts w:ascii="Lato" w:cs="Lato" w:eastAsia="Lato" w:hAnsi="Lato"/>
          <w:i w:val="1"/>
          <w:rtl w:val="0"/>
        </w:rPr>
        <w:t xml:space="preserve">Singtel Innov8</w:t>
      </w:r>
      <w:r w:rsidDel="00000000" w:rsidR="00000000" w:rsidRPr="00000000">
        <w:rPr>
          <w:rFonts w:ascii="Lato" w:cs="Lato" w:eastAsia="Lato" w:hAnsi="Lato"/>
          <w:rtl w:val="0"/>
        </w:rPr>
        <w:t xml:space="preserve">, the venture capital arm of the Singtel Group, invests in and partners with innovative tech startups worldwide. Singtel Innov8 focuses its investments on technologies and solutions that can lead to quantum changes in network capabilities, next generation devices, digital services and enablers to enhance customer experience. Headquartered in Singapore, Singtel Innov8 also has offices in San Francisco and Tel Aviv and Beijing.</w:t>
      </w:r>
      <w:hyperlink r:id="rId11">
        <w:r w:rsidDel="00000000" w:rsidR="00000000" w:rsidRPr="00000000">
          <w:rPr>
            <w:rFonts w:ascii="Lato" w:cs="Lato" w:eastAsia="Lato" w:hAnsi="Lato"/>
            <w:rtl w:val="0"/>
          </w:rPr>
          <w:t xml:space="preserve"> </w:t>
        </w:r>
      </w:hyperlink>
      <w:r w:rsidDel="00000000" w:rsidR="00000000" w:rsidRPr="00000000">
        <w:fldChar w:fldCharType="begin"/>
        <w:instrText xml:space="preserve"> HYPERLINK "http://innov8.singtel.com/" </w:instrText>
        <w:fldChar w:fldCharType="separate"/>
      </w:r>
      <w:r w:rsidDel="00000000" w:rsidR="00000000" w:rsidRPr="00000000">
        <w:rPr>
          <w:rFonts w:ascii="Lato" w:cs="Lato" w:eastAsia="Lato" w:hAnsi="Lato"/>
          <w:color w:val="1155cc"/>
          <w:u w:val="single"/>
          <w:rtl w:val="0"/>
        </w:rPr>
        <w:t xml:space="preserve">http://innov8.singtel.com</w:t>
      </w:r>
    </w:p>
    <w:p w:rsidR="00000000" w:rsidDel="00000000" w:rsidP="00000000" w:rsidRDefault="00000000" w:rsidRPr="00000000" w14:paraId="00000016">
      <w:pPr>
        <w:spacing w:after="160" w:line="276" w:lineRule="auto"/>
        <w:jc w:val="both"/>
        <w:rPr>
          <w:rFonts w:ascii="Lato" w:cs="Lato" w:eastAsia="Lato" w:hAnsi="Lato"/>
          <w:b w:val="1"/>
          <w:u w:val="single"/>
        </w:rPr>
      </w:pPr>
      <w:r w:rsidDel="00000000" w:rsidR="00000000" w:rsidRPr="00000000">
        <w:fldChar w:fldCharType="end"/>
      </w:r>
      <w:r w:rsidDel="00000000" w:rsidR="00000000" w:rsidRPr="00000000">
        <w:rPr>
          <w:rFonts w:ascii="Lato" w:cs="Lato" w:eastAsia="Lato" w:hAnsi="Lato"/>
          <w:b w:val="1"/>
          <w:u w:val="single"/>
          <w:rtl w:val="0"/>
        </w:rPr>
        <w:t xml:space="preserve">NUS Enterprise</w:t>
      </w:r>
    </w:p>
    <w:p w:rsidR="00000000" w:rsidDel="00000000" w:rsidP="00000000" w:rsidRDefault="00000000" w:rsidRPr="00000000" w14:paraId="00000017">
      <w:pPr>
        <w:spacing w:after="160" w:line="276" w:lineRule="auto"/>
        <w:jc w:val="both"/>
        <w:rPr>
          <w:rFonts w:ascii="Lato" w:cs="Lato" w:eastAsia="Lato" w:hAnsi="Lato"/>
          <w:color w:val="1155cc"/>
          <w:u w:val="single"/>
        </w:rPr>
      </w:pPr>
      <w:r w:rsidDel="00000000" w:rsidR="00000000" w:rsidRPr="00000000">
        <w:rPr>
          <w:rFonts w:ascii="Lato" w:cs="Lato" w:eastAsia="Lato" w:hAnsi="Lato"/>
          <w:i w:val="1"/>
          <w:rtl w:val="0"/>
        </w:rPr>
        <w:t xml:space="preserve">NUS Enterprise</w:t>
      </w:r>
      <w:r w:rsidDel="00000000" w:rsidR="00000000" w:rsidRPr="00000000">
        <w:rPr>
          <w:rFonts w:ascii="Lato" w:cs="Lato" w:eastAsia="Lato" w:hAnsi="Lato"/>
          <w:rtl w:val="0"/>
        </w:rPr>
        <w:t xml:space="preserve">, the entrepreneurial arm of the National University of Singapore (NUS), plays a pivotal role in advancing innovation and entrepreneurship at NUS and beyond. Its initiatives and global connections support a range of entrepreneurial journeys and foster ecosystem building in new markets. These initiatives augment and complement the University's academic programmes and act as a unique bridge to industry well beyond Singapore's shores.</w:t>
      </w:r>
      <w:hyperlink r:id="rId12">
        <w:r w:rsidDel="00000000" w:rsidR="00000000" w:rsidRPr="00000000">
          <w:rPr>
            <w:rFonts w:ascii="Lato" w:cs="Lato" w:eastAsia="Lato" w:hAnsi="Lato"/>
            <w:rtl w:val="0"/>
          </w:rPr>
          <w:t xml:space="preserve"> </w:t>
        </w:r>
      </w:hyperlink>
      <w:hyperlink r:id="rId13">
        <w:r w:rsidDel="00000000" w:rsidR="00000000" w:rsidRPr="00000000">
          <w:rPr>
            <w:rFonts w:ascii="Lato" w:cs="Lato" w:eastAsia="Lato" w:hAnsi="Lato"/>
            <w:color w:val="1155cc"/>
            <w:u w:val="single"/>
            <w:rtl w:val="0"/>
          </w:rPr>
          <w:t xml:space="preserve">http://www.enterprise.nus.edu.sg</w:t>
        </w:r>
      </w:hyperlink>
      <w:r w:rsidDel="00000000" w:rsidR="00000000" w:rsidRPr="00000000">
        <w:fldChar w:fldCharType="begin"/>
        <w:instrText xml:space="preserve"> HYPERLINK "https://www.csa.gov.sg/" </w:instrText>
        <w:fldChar w:fldCharType="separate"/>
      </w:r>
      <w:r w:rsidDel="00000000" w:rsidR="00000000" w:rsidRPr="00000000">
        <w:rPr>
          <w:rtl w:val="0"/>
        </w:rPr>
      </w:r>
    </w:p>
    <w:p w:rsidR="00000000" w:rsidDel="00000000" w:rsidP="00000000" w:rsidRDefault="00000000" w:rsidRPr="00000000" w14:paraId="00000018">
      <w:pPr>
        <w:spacing w:after="160" w:line="276" w:lineRule="auto"/>
        <w:jc w:val="both"/>
        <w:rPr>
          <w:color w:val="1155cc"/>
          <w:u w:val="single"/>
        </w:rPr>
      </w:pPr>
      <w:r w:rsidDel="00000000" w:rsidR="00000000" w:rsidRPr="00000000">
        <w:fldChar w:fldCharType="end"/>
      </w:r>
      <w:r w:rsidDel="00000000" w:rsidR="00000000" w:rsidRPr="00000000">
        <w:fldChar w:fldCharType="begin"/>
        <w:instrText xml:space="preserve"> HYPERLINK "https://www.cisco.com/c/en_sg/index.html" </w:instrText>
        <w:fldChar w:fldCharType="separate"/>
      </w:r>
      <w:r w:rsidDel="00000000" w:rsidR="00000000" w:rsidRPr="00000000">
        <w:rPr>
          <w:rtl w:val="0"/>
        </w:rPr>
      </w:r>
    </w:p>
    <w:p w:rsidR="00000000" w:rsidDel="00000000" w:rsidP="00000000" w:rsidRDefault="00000000" w:rsidRPr="00000000" w14:paraId="00000019">
      <w:pPr>
        <w:spacing w:after="160" w:line="276" w:lineRule="auto"/>
        <w:jc w:val="both"/>
        <w:rPr>
          <w:rFonts w:ascii="Lato" w:cs="Lato" w:eastAsia="Lato" w:hAnsi="Lato"/>
        </w:rPr>
      </w:pPr>
      <w:r w:rsidDel="00000000" w:rsidR="00000000" w:rsidRPr="00000000">
        <w:fldChar w:fldCharType="end"/>
      </w:r>
      <w:r w:rsidDel="00000000" w:rsidR="00000000" w:rsidRPr="00000000">
        <w:rPr>
          <w:rtl w:val="0"/>
        </w:rPr>
      </w:r>
    </w:p>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innov8.singtel.com/" TargetMode="External"/><Relationship Id="rId10" Type="http://schemas.openxmlformats.org/officeDocument/2006/relationships/hyperlink" Target="https://ice71.sg/" TargetMode="External"/><Relationship Id="rId13" Type="http://schemas.openxmlformats.org/officeDocument/2006/relationships/hyperlink" Target="http://www.enterprise.nus.edu.sg" TargetMode="External"/><Relationship Id="rId12" Type="http://schemas.openxmlformats.org/officeDocument/2006/relationships/hyperlink" Target="http://www.enterprise.nus.edu.s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intoncapita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ominet.uk/" TargetMode="External"/><Relationship Id="rId8" Type="http://schemas.openxmlformats.org/officeDocument/2006/relationships/hyperlink" Target="https://www.baesystems.com/en/cybersecurity/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